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sz w:val="28"/>
          <w:szCs w:val="28"/>
          <w:lang w:val="en-US" w:eastAsia="zh-CN"/>
        </w:rPr>
      </w:pPr>
      <w:r>
        <w:rPr>
          <w:rFonts w:hint="eastAsia" w:ascii="方正小标宋简体" w:hAnsi="方正小标宋简体" w:eastAsia="方正小标宋简体" w:cs="方正小标宋简体"/>
          <w:b/>
          <w:bCs/>
          <w:sz w:val="44"/>
          <w:szCs w:val="44"/>
          <w:lang w:val="en-US" w:eastAsia="zh-CN"/>
        </w:rPr>
        <w:t>浙江师范大学</w:t>
      </w:r>
      <w:r>
        <w:rPr>
          <w:rFonts w:hint="eastAsia" w:ascii="方正小标宋简体" w:hAnsi="方正小标宋简体" w:eastAsia="方正小标宋简体" w:cs="方正小标宋简体"/>
          <w:b/>
          <w:bCs/>
          <w:sz w:val="44"/>
          <w:szCs w:val="44"/>
        </w:rPr>
        <w:t>学位论文答辩安排</w:t>
      </w:r>
      <w:r>
        <w:rPr>
          <w:rFonts w:hint="eastAsia" w:ascii="方正小标宋简体" w:hAnsi="方正小标宋简体" w:eastAsia="方正小标宋简体" w:cs="方正小标宋简体"/>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一、学生类型：</w:t>
      </w:r>
      <w:r>
        <w:rPr>
          <w:rFonts w:hint="eastAsia" w:ascii="仿宋" w:hAnsi="仿宋" w:eastAsia="仿宋" w:cs="仿宋"/>
          <w:sz w:val="28"/>
          <w:szCs w:val="28"/>
          <w:lang w:val="en-US" w:eastAsia="zh-CN"/>
        </w:rPr>
        <w:t>专业学位研究生</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二、学院名称：</w:t>
      </w:r>
      <w:r>
        <w:rPr>
          <w:rFonts w:hint="eastAsia" w:ascii="仿宋" w:hAnsi="仿宋" w:eastAsia="仿宋" w:cs="仿宋"/>
          <w:b w:val="0"/>
          <w:bCs w:val="0"/>
          <w:sz w:val="28"/>
          <w:szCs w:val="28"/>
          <w:lang w:val="en-US" w:eastAsia="zh-CN"/>
        </w:rPr>
        <w:t>教师</w:t>
      </w:r>
      <w:r>
        <w:rPr>
          <w:rFonts w:hint="eastAsia" w:ascii="仿宋" w:hAnsi="仿宋" w:eastAsia="仿宋" w:cs="仿宋"/>
          <w:sz w:val="28"/>
          <w:szCs w:val="28"/>
          <w:lang w:val="en-US" w:eastAsia="zh-CN"/>
        </w:rPr>
        <w:t>教育学院</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三、一级学科（专业学位类别）名称：</w:t>
      </w:r>
      <w:r>
        <w:rPr>
          <w:rFonts w:hint="eastAsia" w:ascii="仿宋" w:hAnsi="仿宋" w:eastAsia="仿宋" w:cs="仿宋"/>
          <w:sz w:val="28"/>
          <w:szCs w:val="28"/>
          <w:lang w:val="en-US" w:eastAsia="zh-CN"/>
        </w:rPr>
        <w:t>教育硕士</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四、二级学科（专业学位领域）名称：</w:t>
      </w:r>
      <w:r>
        <w:rPr>
          <w:rFonts w:hint="eastAsia" w:ascii="仿宋" w:hAnsi="仿宋" w:eastAsia="仿宋" w:cs="仿宋"/>
          <w:sz w:val="28"/>
          <w:szCs w:val="28"/>
          <w:lang w:val="en-US" w:eastAsia="zh-CN"/>
        </w:rPr>
        <w:t>学科教学（物理）</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五：答辩时间：</w:t>
      </w:r>
      <w:r>
        <w:rPr>
          <w:rFonts w:hint="eastAsia" w:ascii="仿宋" w:hAnsi="仿宋" w:eastAsia="仿宋" w:cs="仿宋"/>
          <w:sz w:val="28"/>
          <w:szCs w:val="28"/>
          <w:lang w:val="en-US" w:eastAsia="zh-CN"/>
        </w:rPr>
        <w:t>2021年5月21日  8:00-12:00；14:00-17:00</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六：答辩地点：</w:t>
      </w:r>
      <w:r>
        <w:rPr>
          <w:rFonts w:hint="eastAsia" w:ascii="仿宋" w:hAnsi="仿宋" w:eastAsia="仿宋" w:cs="仿宋"/>
          <w:sz w:val="28"/>
          <w:szCs w:val="28"/>
          <w:lang w:val="en-US" w:eastAsia="zh-CN"/>
        </w:rPr>
        <w:t>17幢225会议室</w:t>
      </w:r>
    </w:p>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七：记录秘书：</w:t>
      </w:r>
      <w:r>
        <w:rPr>
          <w:rFonts w:hint="eastAsia" w:ascii="仿宋" w:hAnsi="仿宋" w:eastAsia="仿宋" w:cs="仿宋"/>
          <w:b w:val="0"/>
          <w:bCs w:val="0"/>
          <w:sz w:val="28"/>
          <w:szCs w:val="28"/>
          <w:lang w:val="en-US" w:eastAsia="zh-CN"/>
        </w:rPr>
        <w:t>王莉、高歆雨</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1"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2004"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职称</w:t>
            </w:r>
          </w:p>
        </w:tc>
        <w:tc>
          <w:tcPr>
            <w:tcW w:w="2996"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工作单位</w:t>
            </w:r>
          </w:p>
        </w:tc>
        <w:tc>
          <w:tcPr>
            <w:tcW w:w="2131"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万东升</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苏州大学</w:t>
            </w:r>
          </w:p>
        </w:tc>
        <w:tc>
          <w:tcPr>
            <w:tcW w:w="213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陈报南</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正高级特级教师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浙江师范大学附属中学</w:t>
            </w:r>
          </w:p>
        </w:tc>
        <w:tc>
          <w:tcPr>
            <w:tcW w:w="2131"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楼松年</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特级教师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浙江省金华市第一中学</w:t>
            </w:r>
          </w:p>
        </w:tc>
        <w:tc>
          <w:tcPr>
            <w:tcW w:w="2131"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姜涛</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台州学院</w:t>
            </w:r>
          </w:p>
        </w:tc>
        <w:tc>
          <w:tcPr>
            <w:tcW w:w="2131"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曾平飞</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浙江师范大学</w:t>
            </w:r>
          </w:p>
        </w:tc>
        <w:tc>
          <w:tcPr>
            <w:tcW w:w="2131"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程燕平</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副教授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浙江师范大学</w:t>
            </w:r>
          </w:p>
        </w:tc>
        <w:tc>
          <w:tcPr>
            <w:tcW w:w="2131"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宋燕平</w:t>
            </w:r>
          </w:p>
        </w:tc>
        <w:tc>
          <w:tcPr>
            <w:tcW w:w="20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讲师</w:t>
            </w:r>
          </w:p>
        </w:tc>
        <w:tc>
          <w:tcPr>
            <w:tcW w:w="299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浙江师范大学</w:t>
            </w:r>
          </w:p>
        </w:tc>
        <w:tc>
          <w:tcPr>
            <w:tcW w:w="2131" w:type="dxa"/>
            <w:vAlign w:val="center"/>
          </w:tcPr>
          <w:p>
            <w:pPr>
              <w:jc w:val="center"/>
              <w:rPr>
                <w:rFonts w:hint="default"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九、答辩人：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128"/>
        <w:gridCol w:w="5592"/>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68" w:type="dxa"/>
            <w:vAlign w:val="center"/>
          </w:tcPr>
          <w:p>
            <w:pPr>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学生姓名</w:t>
            </w:r>
          </w:p>
        </w:tc>
        <w:tc>
          <w:tcPr>
            <w:tcW w:w="1128" w:type="dxa"/>
            <w:vAlign w:val="center"/>
          </w:tcPr>
          <w:p>
            <w:pPr>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导师姓名</w:t>
            </w:r>
          </w:p>
        </w:tc>
        <w:tc>
          <w:tcPr>
            <w:tcW w:w="5592"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学位论文题目</w:t>
            </w:r>
          </w:p>
        </w:tc>
        <w:tc>
          <w:tcPr>
            <w:tcW w:w="834"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陈令</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程燕平</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5E教学模式促进高中生“摩擦力”概念理解水平提升的实践研究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陈佳钰</w:t>
            </w:r>
          </w:p>
        </w:tc>
        <w:tc>
          <w:tcPr>
            <w:tcW w:w="1128" w:type="dxa"/>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程燕平</w:t>
            </w:r>
          </w:p>
        </w:tc>
        <w:tc>
          <w:tcPr>
            <w:tcW w:w="5592"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利用自主探究教学促进初中生浮力概念转变的实践研究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倪敏桦</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程燕平</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以任务驱动教学提升初中生科学探究能力的实践研究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李峰</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程燕平</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以“引导—探究”教学提升高中生科学推理能力的实践研究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柳钰婷</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程燕平</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运用原始问题提高初中生问题解决能力的实践研究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邹伟通</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曾平飞</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高中物理“电磁感应”概念的学习进阶研究</w:t>
            </w:r>
          </w:p>
        </w:tc>
        <w:tc>
          <w:tcPr>
            <w:tcW w:w="834" w:type="dxa"/>
            <w:vAlign w:val="top"/>
          </w:tcPr>
          <w:p>
            <w:pPr>
              <w:jc w:val="center"/>
              <w:rPr>
                <w:rFonts w:hint="default" w:ascii="仿宋" w:hAnsi="仿宋" w:eastAsia="仿宋" w:cs="仿宋"/>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高冉冉</w:t>
            </w:r>
          </w:p>
        </w:tc>
        <w:tc>
          <w:tcPr>
            <w:tcW w:w="112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黄晓、</w:t>
            </w:r>
            <w:bookmarkStart w:id="0" w:name="_GoBack"/>
            <w:bookmarkEnd w:id="0"/>
            <w:r>
              <w:rPr>
                <w:rFonts w:hint="eastAsia" w:ascii="宋体" w:hAnsi="宋体" w:eastAsia="宋体" w:cs="宋体"/>
                <w:i w:val="0"/>
                <w:color w:val="000000"/>
                <w:kern w:val="0"/>
                <w:sz w:val="22"/>
                <w:szCs w:val="22"/>
                <w:u w:val="none"/>
                <w:lang w:val="en-US" w:eastAsia="zh-CN" w:bidi="ar"/>
              </w:rPr>
              <w:t>陈报南</w:t>
            </w:r>
          </w:p>
        </w:tc>
        <w:tc>
          <w:tcPr>
            <w:tcW w:w="5592" w:type="dxa"/>
            <w:vAlign w:val="bottom"/>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指向“物质观念”理解的高中物理电磁场教学案例与实践</w:t>
            </w:r>
          </w:p>
        </w:tc>
        <w:tc>
          <w:tcPr>
            <w:tcW w:w="834"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李润正</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黄晓</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以论证-探究教学促进高中生批判性思维的实践研究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洪欣尧</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黄晓</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以物理竞赛教学提升高中生多重表征能力的实践研究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王雪</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黄晓</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学科渗透式STEM教学对初中生合作问题解决能力影响的实证研究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叶亨豪</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黄晓</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基础拔尖创新人才培养过程中物理建模能力的形成研究</w:t>
            </w:r>
          </w:p>
        </w:tc>
        <w:tc>
          <w:tcPr>
            <w:tcW w:w="834"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金嘉雷</w:t>
            </w:r>
          </w:p>
        </w:tc>
        <w:tc>
          <w:tcPr>
            <w:tcW w:w="1128" w:type="dxa"/>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黄晓</w:t>
            </w:r>
          </w:p>
        </w:tc>
        <w:tc>
          <w:tcPr>
            <w:tcW w:w="5592" w:type="dxa"/>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基于社会性科学议题情境的论证教学促进初中生科学本质理解的实证研究</w:t>
            </w:r>
          </w:p>
        </w:tc>
        <w:tc>
          <w:tcPr>
            <w:tcW w:w="834" w:type="dxa"/>
          </w:tcPr>
          <w:p>
            <w:pPr>
              <w:jc w:val="center"/>
              <w:rPr>
                <w:rFonts w:hint="default" w:ascii="仿宋" w:hAnsi="仿宋" w:eastAsia="仿宋" w:cs="仿宋"/>
                <w:sz w:val="24"/>
                <w:szCs w:val="24"/>
                <w:vertAlign w:val="baseline"/>
                <w:lang w:val="en-US" w:eastAsia="zh-CN"/>
              </w:rPr>
            </w:pPr>
          </w:p>
        </w:tc>
      </w:tr>
    </w:tbl>
    <w:p>
      <w:pPr>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备注：请合理安排答辩人数，原则上每位学生答辩时间不少于30分钟。</w:t>
      </w:r>
    </w:p>
    <w:p>
      <w:pPr>
        <w:ind w:firstLine="210" w:firstLineChars="100"/>
        <w:rPr>
          <w:rFonts w:hint="eastAsia" w:ascii="仿宋" w:hAnsi="仿宋" w:eastAsia="仿宋" w:cs="仿宋"/>
          <w:sz w:val="21"/>
          <w:szCs w:val="21"/>
          <w:lang w:val="en-US" w:eastAsia="zh-CN"/>
        </w:rPr>
      </w:pPr>
    </w:p>
    <w:p>
      <w:pPr>
        <w:ind w:firstLine="210" w:firstLineChars="100"/>
        <w:rPr>
          <w:rFonts w:hint="eastAsia" w:ascii="仿宋" w:hAnsi="仿宋" w:eastAsia="仿宋" w:cs="仿宋"/>
          <w:sz w:val="21"/>
          <w:szCs w:val="21"/>
          <w:lang w:val="en-US" w:eastAsia="zh-CN"/>
        </w:rPr>
      </w:pPr>
    </w:p>
    <w:p>
      <w:pPr>
        <w:ind w:firstLine="210" w:firstLineChars="100"/>
        <w:rPr>
          <w:rFonts w:hint="eastAsia" w:ascii="仿宋" w:hAnsi="仿宋" w:eastAsia="仿宋" w:cs="仿宋"/>
          <w:sz w:val="21"/>
          <w:szCs w:val="21"/>
          <w:lang w:val="en-US" w:eastAsia="zh-CN"/>
        </w:rPr>
      </w:pPr>
    </w:p>
    <w:p>
      <w:pPr>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4"/>
          <w:szCs w:val="24"/>
          <w:vertAlign w:val="baseline"/>
          <w:lang w:val="en-US" w:eastAsia="zh-CN"/>
        </w:rPr>
        <w:t>2021年5月13日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657A7"/>
    <w:rsid w:val="045A48BB"/>
    <w:rsid w:val="09995478"/>
    <w:rsid w:val="0A082812"/>
    <w:rsid w:val="0ADB2A08"/>
    <w:rsid w:val="0CBB7358"/>
    <w:rsid w:val="103C7A1F"/>
    <w:rsid w:val="162A6132"/>
    <w:rsid w:val="16800C84"/>
    <w:rsid w:val="191C378A"/>
    <w:rsid w:val="192557E9"/>
    <w:rsid w:val="196C7D09"/>
    <w:rsid w:val="1F931048"/>
    <w:rsid w:val="20977A9E"/>
    <w:rsid w:val="243D5499"/>
    <w:rsid w:val="309F494F"/>
    <w:rsid w:val="362529C9"/>
    <w:rsid w:val="367C40F9"/>
    <w:rsid w:val="37895D12"/>
    <w:rsid w:val="394D29C5"/>
    <w:rsid w:val="3DC8418C"/>
    <w:rsid w:val="42DE704C"/>
    <w:rsid w:val="46EA077E"/>
    <w:rsid w:val="53EC467E"/>
    <w:rsid w:val="53F61CDA"/>
    <w:rsid w:val="55F43A6D"/>
    <w:rsid w:val="5D214BE1"/>
    <w:rsid w:val="629D79E2"/>
    <w:rsid w:val="63097777"/>
    <w:rsid w:val="63813A64"/>
    <w:rsid w:val="65513D3E"/>
    <w:rsid w:val="69C30338"/>
    <w:rsid w:val="6BEA4D18"/>
    <w:rsid w:val="6DA11730"/>
    <w:rsid w:val="746A072A"/>
    <w:rsid w:val="74E16CBB"/>
    <w:rsid w:val="7CC75CB8"/>
    <w:rsid w:val="7F85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2021-05-08T02:12:00Z</dcterms:created>
  <dc:creator>HP</dc:creator>
  <cp:lastModifiedBy>高歆雨</cp:lastModifiedBy>
  <dcterms:modified xsi:type="dcterms:W3CDTF">2021-05-18T05:55:43Z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71E2B64A19954F6CA732046B9E52FD8E</vt:lpwstr>
  </property>
</Properties>
</file>